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17.04.2019г №22/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«КАТАНГСКИЙ РАЙОН»</w:t>
      </w:r>
    </w:p>
    <w:p w:rsidR="00E52E57" w:rsidRPr="00E52E57" w:rsidRDefault="00E52E57" w:rsidP="00E52E57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НЕПСКОЕ МУНИЦИПАЛЬНОЕ ОБРАЗОВАНИЕ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ДУМА</w:t>
      </w:r>
    </w:p>
    <w:p w:rsidR="00E52E57" w:rsidRDefault="00E52E57" w:rsidP="00E52E5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52E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57" w:rsidRDefault="00E52E57" w:rsidP="00E52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2E57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 НЕПСКОГО МУНИЦИПАЛЬНОГО ОБРАЗОВАНИЯ ЗА 2018 ГОД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264.6 Бюджетного кодекса Российской Федерации, пунктом 1,2,3 статьи 31 Положения о бюджетном процессе в </w:t>
      </w:r>
      <w:proofErr w:type="spellStart"/>
      <w:proofErr w:type="gram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Непском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муниципальном</w:t>
      </w:r>
      <w:proofErr w:type="gram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образовании, утвержденного решением думы от 09.12.2013г. №14/4, руководствуясь пунктом 1 статьи 64, Устава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E52E57" w:rsidRPr="00E52E57" w:rsidRDefault="00E52E57" w:rsidP="00E52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Pr="00E52E5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52E57" w:rsidRPr="00E52E57" w:rsidRDefault="00E52E57" w:rsidP="00E52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E57" w:rsidRPr="00E52E57" w:rsidRDefault="00E52E57" w:rsidP="00E52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proofErr w:type="gram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отчет  об</w:t>
      </w:r>
      <w:proofErr w:type="gram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местного бюджета за 2018г. по доходам сумме   19 199 828,75 рублей, по расходам в сумме 25 174 555,61 рублей с превышением расходов над доходами (дефицит бюджета поселения) в сумме 5974726,86 рублей и со следующими показателями: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1) доходы бюджета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по кодам классификации доходов бюджета за 2018 год согласно приложению №1 к настоящему решению;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2) доходов бюджета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по кодам видов доходов, подвидов доходов, классификации операций сектора государственного управления, относящихся к доходам бюджетов, за 2018 год согласно приложению №2 к настоящему решению;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3) расходов бюджета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по ведомственной структуре расходов за 2018 год согласно приложению №3 к настоящему решению;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4) расходов бюджета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по разделам и подразделам классификации расходов бюджета за 2018 год согласно приложению №4 к настоящему решению;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5) источников финансирования дефицита бюджета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по </w:t>
      </w:r>
      <w:proofErr w:type="gram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кодам  классификации</w:t>
      </w:r>
      <w:proofErr w:type="gram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 за 2018 г. согласно приложению №5 к настоящему решению;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отчет об исполнении резервного фонда по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 за 2018 год согласно приложению №7 к настоящему решению. </w:t>
      </w:r>
    </w:p>
    <w:p w:rsidR="00E52E57" w:rsidRPr="00E52E57" w:rsidRDefault="00E52E57" w:rsidP="00E52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газете «Муниципальный Вестник </w:t>
      </w:r>
      <w:proofErr w:type="spellStart"/>
      <w:r w:rsidRPr="00E52E57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E52E57">
        <w:rPr>
          <w:rFonts w:ascii="Arial" w:eastAsia="Times New Roman" w:hAnsi="Arial" w:cs="Arial"/>
          <w:sz w:val="24"/>
          <w:szCs w:val="24"/>
          <w:lang w:eastAsia="ru-RU"/>
        </w:rPr>
        <w:t xml:space="preserve"> МО». </w:t>
      </w:r>
    </w:p>
    <w:p w:rsidR="00E52E57" w:rsidRPr="00E52E57" w:rsidRDefault="00E52E57" w:rsidP="00E52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E57" w:rsidRP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278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670278">
        <w:rPr>
          <w:rFonts w:ascii="Arial" w:eastAsia="Calibri" w:hAnsi="Arial" w:cs="Arial"/>
          <w:sz w:val="24"/>
          <w:szCs w:val="24"/>
        </w:rPr>
        <w:t>Непского</w:t>
      </w:r>
      <w:proofErr w:type="spellEnd"/>
      <w:r w:rsidRPr="00670278">
        <w:rPr>
          <w:rFonts w:ascii="Arial" w:eastAsia="Calibri" w:hAnsi="Arial" w:cs="Arial"/>
          <w:sz w:val="24"/>
          <w:szCs w:val="24"/>
        </w:rPr>
        <w:t xml:space="preserve"> </w:t>
      </w:r>
    </w:p>
    <w:p w:rsidR="00E52E57" w:rsidRP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278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E52E57" w:rsidRP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278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670278">
        <w:rPr>
          <w:rFonts w:ascii="Arial" w:eastAsia="Calibri" w:hAnsi="Arial" w:cs="Arial"/>
          <w:sz w:val="24"/>
          <w:szCs w:val="24"/>
        </w:rPr>
        <w:t>Непского</w:t>
      </w:r>
      <w:proofErr w:type="spellEnd"/>
      <w:r w:rsidRPr="00670278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E52E57" w:rsidRP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670278">
        <w:rPr>
          <w:rFonts w:ascii="Arial" w:eastAsia="Calibri" w:hAnsi="Arial" w:cs="Arial"/>
          <w:sz w:val="24"/>
          <w:szCs w:val="24"/>
        </w:rPr>
        <w:t>А.В.Сизых</w:t>
      </w:r>
      <w:proofErr w:type="spellEnd"/>
    </w:p>
    <w:p w:rsidR="00E52E57" w:rsidRPr="00670278" w:rsidRDefault="00E52E57" w:rsidP="00E52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2E57" w:rsidRPr="00670278" w:rsidRDefault="00E52E57" w:rsidP="00E52E57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489" w:type="dxa"/>
        <w:tblLayout w:type="fixed"/>
        <w:tblLook w:val="04A0" w:firstRow="1" w:lastRow="0" w:firstColumn="1" w:lastColumn="0" w:noHBand="0" w:noVBand="1"/>
      </w:tblPr>
      <w:tblGrid>
        <w:gridCol w:w="4110"/>
        <w:gridCol w:w="2126"/>
        <w:gridCol w:w="1418"/>
        <w:gridCol w:w="1701"/>
        <w:gridCol w:w="992"/>
        <w:gridCol w:w="142"/>
      </w:tblGrid>
      <w:tr w:rsidR="00E52E57" w:rsidRPr="00E52E57" w:rsidTr="00F60A48">
        <w:trPr>
          <w:gridAfter w:val="1"/>
          <w:wAfter w:w="142" w:type="dxa"/>
          <w:trHeight w:val="300"/>
        </w:trPr>
        <w:tc>
          <w:tcPr>
            <w:tcW w:w="411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Calibri" w:eastAsia="Calibri" w:hAnsi="Calibri" w:cs="Times New Roman"/>
              </w:rPr>
            </w:pPr>
            <w:bookmarkStart w:id="0" w:name="RANGE!A1:F46"/>
            <w:bookmarkEnd w:id="0"/>
          </w:p>
        </w:tc>
        <w:tc>
          <w:tcPr>
            <w:tcW w:w="212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noWrap/>
            <w:hideMark/>
          </w:tcPr>
          <w:p w:rsidR="00E52E57" w:rsidRPr="00670278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670278">
              <w:rPr>
                <w:rFonts w:ascii="Courier New" w:eastAsia="Calibri" w:hAnsi="Courier New" w:cs="Courier New"/>
                <w:color w:val="000000"/>
              </w:rPr>
              <w:t xml:space="preserve">Приложение №1 </w:t>
            </w:r>
          </w:p>
        </w:tc>
      </w:tr>
      <w:tr w:rsidR="00E52E57" w:rsidRPr="00E52E57" w:rsidTr="00F60A48">
        <w:trPr>
          <w:gridAfter w:val="1"/>
          <w:wAfter w:w="142" w:type="dxa"/>
          <w:trHeight w:val="1035"/>
        </w:trPr>
        <w:tc>
          <w:tcPr>
            <w:tcW w:w="411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hideMark/>
          </w:tcPr>
          <w:p w:rsidR="00E52E57" w:rsidRPr="00670278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670278">
              <w:rPr>
                <w:rFonts w:ascii="Courier New" w:eastAsia="Calibri" w:hAnsi="Courier New" w:cs="Courier New"/>
                <w:color w:val="000000"/>
              </w:rPr>
              <w:t>к Решению думы</w:t>
            </w:r>
          </w:p>
          <w:p w:rsidR="00E52E57" w:rsidRPr="00670278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670278">
              <w:rPr>
                <w:rFonts w:ascii="Courier New" w:eastAsia="Calibri" w:hAnsi="Courier New" w:cs="Courier New"/>
                <w:color w:val="000000"/>
              </w:rPr>
              <w:t xml:space="preserve">Администрации </w:t>
            </w:r>
            <w:proofErr w:type="spellStart"/>
            <w:r w:rsidRPr="00670278">
              <w:rPr>
                <w:rFonts w:ascii="Courier New" w:eastAsia="Calibri" w:hAnsi="Courier New" w:cs="Courier New"/>
                <w:color w:val="000000"/>
              </w:rPr>
              <w:t>Непского</w:t>
            </w:r>
            <w:proofErr w:type="spellEnd"/>
            <w:r w:rsidRPr="00670278">
              <w:rPr>
                <w:rFonts w:ascii="Courier New" w:eastAsia="Calibri" w:hAnsi="Courier New" w:cs="Courier New"/>
                <w:color w:val="000000"/>
              </w:rPr>
              <w:t xml:space="preserve"> муниципального образования "Об исполнении бюджета </w:t>
            </w:r>
            <w:proofErr w:type="spellStart"/>
            <w:r w:rsidRPr="00670278">
              <w:rPr>
                <w:rFonts w:ascii="Courier New" w:eastAsia="Calibri" w:hAnsi="Courier New" w:cs="Courier New"/>
                <w:color w:val="000000"/>
              </w:rPr>
              <w:t>Непского</w:t>
            </w:r>
            <w:proofErr w:type="spellEnd"/>
            <w:r w:rsidRPr="00670278">
              <w:rPr>
                <w:rFonts w:ascii="Courier New" w:eastAsia="Calibri" w:hAnsi="Courier New" w:cs="Courier New"/>
                <w:color w:val="000000"/>
              </w:rPr>
              <w:t xml:space="preserve"> МО за 2018г"</w:t>
            </w:r>
          </w:p>
        </w:tc>
      </w:tr>
      <w:tr w:rsidR="00E52E57" w:rsidRPr="00E52E57" w:rsidTr="00F60A48">
        <w:trPr>
          <w:gridAfter w:val="1"/>
          <w:wAfter w:w="142" w:type="dxa"/>
          <w:trHeight w:val="214"/>
        </w:trPr>
        <w:tc>
          <w:tcPr>
            <w:tcW w:w="411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E52E57" w:rsidRDefault="00E52E57" w:rsidP="0067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 </w:t>
            </w:r>
            <w:r w:rsidR="006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17.04.</w:t>
            </w: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="006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60A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6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</w:t>
            </w:r>
          </w:p>
          <w:p w:rsidR="00670278" w:rsidRPr="00670278" w:rsidRDefault="00670278" w:rsidP="0067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60A48" w:rsidRPr="00E52E57" w:rsidTr="00F60A48">
        <w:trPr>
          <w:trHeight w:val="533"/>
        </w:trPr>
        <w:tc>
          <w:tcPr>
            <w:tcW w:w="10489" w:type="dxa"/>
            <w:gridSpan w:val="6"/>
            <w:hideMark/>
          </w:tcPr>
          <w:p w:rsidR="00F60A48" w:rsidRPr="00F60A48" w:rsidRDefault="00F60A48" w:rsidP="0067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F60A4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ОТЧЕТ ОБ ИСПОЛНЕНИИ ДОХОДНОЙ ЧАСТИ БЮДЖЕТА АДМИНИСТРАЦИИ НЕПСКОГО МУНИЦИПАЛЬНОГО ОБРАЗОВАНИЯ ЗА 2018 ГОД</w:t>
            </w:r>
          </w:p>
          <w:p w:rsidR="00F60A48" w:rsidRPr="00670278" w:rsidRDefault="00F60A48" w:rsidP="00670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60A48" w:rsidRPr="00E52E57" w:rsidTr="00F60A48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План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 за 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A48" w:rsidRPr="00670278" w:rsidRDefault="00F60A48" w:rsidP="00F60A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6702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 году </w:t>
            </w:r>
          </w:p>
        </w:tc>
      </w:tr>
      <w:tr w:rsidR="00F60A48" w:rsidRPr="00E52E57" w:rsidTr="00F60A48">
        <w:trPr>
          <w:trHeight w:val="48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Доходы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19 535 440,00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19 199 828,75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F60A48" w:rsidRPr="00E52E57" w:rsidTr="00F60A48">
        <w:trPr>
          <w:trHeight w:val="51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126" w:type="dxa"/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A48" w:rsidRPr="00E52E57" w:rsidTr="00F60A48">
        <w:trPr>
          <w:trHeight w:val="48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13 538 400,00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13 203 488,75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F60A48" w:rsidRPr="00E52E57" w:rsidTr="00F60A48">
        <w:trPr>
          <w:trHeight w:val="48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11 986 184,55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F60A48" w:rsidRPr="00E52E57" w:rsidTr="00F60A48">
        <w:trPr>
          <w:trHeight w:val="51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11 986 184,55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F60A48" w:rsidRPr="00E52E57" w:rsidTr="00F60A48">
        <w:trPr>
          <w:trHeight w:val="178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11 729 393,34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F60A48" w:rsidRPr="00E52E57" w:rsidTr="00F60A48">
        <w:trPr>
          <w:trHeight w:val="46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102 207,45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F60A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A48" w:rsidRPr="00E52E57" w:rsidTr="00F60A48">
        <w:trPr>
          <w:trHeight w:val="25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163 980,48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A48" w:rsidRPr="00E52E57" w:rsidTr="00F60A48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182 10102010014000110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-9 396,72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1 079 731,11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</w:tr>
      <w:tr w:rsidR="00F60A48" w:rsidRPr="00E52E57" w:rsidTr="00F60A48">
        <w:trPr>
          <w:trHeight w:val="4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1 079 731,11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</w:tr>
      <w:tr w:rsidR="00F60A48" w:rsidRPr="00E52E57" w:rsidTr="00F60A48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437 790,00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481 090,72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</w:tr>
      <w:tr w:rsidR="00F60A48" w:rsidRPr="00E52E57" w:rsidTr="00F60A48">
        <w:trPr>
          <w:trHeight w:val="15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4 994,00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4 633,29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F60A48" w:rsidRPr="00E52E57" w:rsidTr="00F60A48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642 640,00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701 798,74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</w:tr>
      <w:tr w:rsidR="00F60A48" w:rsidRPr="00E52E57" w:rsidTr="00F60A48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100 10302260010000110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-86 024,00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-107 791,64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137 573,09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9 922,44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9 922,44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</w:tr>
      <w:tr w:rsidR="00F60A48" w:rsidRPr="00E52E57" w:rsidTr="00F60A48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9 871,15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0A48" w:rsidRPr="00E52E57" w:rsidTr="00F60A48">
        <w:trPr>
          <w:trHeight w:val="9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127 650,65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110 931,76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110 931,76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16 718,89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16 718,89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5 997 040,00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5 996 340,00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5 997 040,00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5 996 340,00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4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914 20210000000000151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914 20215001000000151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4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914 20215001100000151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914 20229999000000151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914 20229999100000151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ДОХОДЫ БЮДЖЕТА АДМИНИСТРАЦИИ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914 20229999100000151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4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914 20230000000000151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914 20230024000000151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914 20230024100000151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60A48" w:rsidRPr="00E52E57" w:rsidTr="00F60A48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914 20235118000000151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60A48" w:rsidRPr="00E52E57" w:rsidTr="00F60A48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914 20235118100000151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A48" w:rsidRPr="00670278" w:rsidRDefault="00F60A48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027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E52E57" w:rsidRPr="00E52E57" w:rsidRDefault="00E52E57" w:rsidP="00E52E57">
      <w:pPr>
        <w:spacing w:after="0" w:line="252" w:lineRule="auto"/>
        <w:rPr>
          <w:rFonts w:ascii="Calibri" w:eastAsia="Calibri" w:hAnsi="Calibri" w:cs="Times New Roman"/>
        </w:rPr>
        <w:sectPr w:rsidR="00E52E57" w:rsidRPr="00E52E57">
          <w:pgSz w:w="11906" w:h="16838"/>
          <w:pgMar w:top="284" w:right="851" w:bottom="284" w:left="1134" w:header="708" w:footer="708" w:gutter="0"/>
          <w:cols w:space="720"/>
        </w:sectPr>
      </w:pPr>
    </w:p>
    <w:p w:rsidR="00E52E57" w:rsidRPr="00F60A48" w:rsidRDefault="00E52E57" w:rsidP="00E52E57">
      <w:pPr>
        <w:spacing w:line="252" w:lineRule="auto"/>
        <w:ind w:right="708"/>
        <w:rPr>
          <w:rFonts w:ascii="Arial" w:eastAsia="Calibri" w:hAnsi="Arial" w:cs="Arial"/>
          <w:sz w:val="24"/>
          <w:szCs w:val="24"/>
        </w:rPr>
      </w:pPr>
    </w:p>
    <w:tbl>
      <w:tblPr>
        <w:tblW w:w="10227" w:type="dxa"/>
        <w:tblLayout w:type="fixed"/>
        <w:tblLook w:val="04A0" w:firstRow="1" w:lastRow="0" w:firstColumn="1" w:lastColumn="0" w:noHBand="0" w:noVBand="1"/>
      </w:tblPr>
      <w:tblGrid>
        <w:gridCol w:w="4251"/>
        <w:gridCol w:w="2125"/>
        <w:gridCol w:w="1009"/>
        <w:gridCol w:w="1066"/>
        <w:gridCol w:w="1540"/>
        <w:gridCol w:w="236"/>
      </w:tblGrid>
      <w:tr w:rsidR="00E52E57" w:rsidRPr="00E52E57" w:rsidTr="001A75BC">
        <w:trPr>
          <w:trHeight w:val="300"/>
        </w:trPr>
        <w:tc>
          <w:tcPr>
            <w:tcW w:w="4251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4"/>
            <w:noWrap/>
            <w:hideMark/>
          </w:tcPr>
          <w:p w:rsidR="00E52E57" w:rsidRPr="00F60A48" w:rsidRDefault="00E52E57" w:rsidP="001A75BC">
            <w:pPr>
              <w:tabs>
                <w:tab w:val="left" w:pos="3443"/>
              </w:tabs>
              <w:spacing w:after="0" w:line="240" w:lineRule="auto"/>
              <w:ind w:right="57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0A48">
              <w:rPr>
                <w:rFonts w:ascii="Courier New" w:eastAsia="Times New Roman" w:hAnsi="Courier New" w:cs="Courier New"/>
                <w:lang w:eastAsia="ru-RU"/>
              </w:rPr>
              <w:t xml:space="preserve">Приложение №2 </w:t>
            </w:r>
          </w:p>
        </w:tc>
      </w:tr>
      <w:tr w:rsidR="00E52E57" w:rsidRPr="00E52E57" w:rsidTr="001A75BC">
        <w:trPr>
          <w:trHeight w:val="1035"/>
        </w:trPr>
        <w:tc>
          <w:tcPr>
            <w:tcW w:w="4251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4"/>
            <w:hideMark/>
          </w:tcPr>
          <w:p w:rsidR="00E52E57" w:rsidRPr="00F60A48" w:rsidRDefault="00E52E57" w:rsidP="001A75BC">
            <w:pPr>
              <w:spacing w:after="0" w:line="240" w:lineRule="auto"/>
              <w:ind w:right="57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0A48">
              <w:rPr>
                <w:rFonts w:ascii="Courier New" w:eastAsia="Times New Roman" w:hAnsi="Courier New" w:cs="Courier New"/>
                <w:lang w:eastAsia="ru-RU"/>
              </w:rPr>
              <w:t>к Решению думы</w:t>
            </w:r>
            <w:r w:rsidR="001A75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0A4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F60A48">
              <w:rPr>
                <w:rFonts w:ascii="Courier New" w:eastAsia="Times New Roman" w:hAnsi="Courier New" w:cs="Courier New"/>
                <w:lang w:eastAsia="ru-RU"/>
              </w:rPr>
              <w:t>Непского</w:t>
            </w:r>
            <w:proofErr w:type="spellEnd"/>
            <w:r w:rsidRPr="00F60A4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"Об исполнении бюджета</w:t>
            </w:r>
          </w:p>
          <w:p w:rsidR="00E52E57" w:rsidRPr="00F60A48" w:rsidRDefault="00E52E57" w:rsidP="001A75BC">
            <w:pPr>
              <w:spacing w:after="0" w:line="240" w:lineRule="auto"/>
              <w:ind w:right="57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0A4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60A48">
              <w:rPr>
                <w:rFonts w:ascii="Courier New" w:eastAsia="Times New Roman" w:hAnsi="Courier New" w:cs="Courier New"/>
                <w:lang w:eastAsia="ru-RU"/>
              </w:rPr>
              <w:t>Непского</w:t>
            </w:r>
            <w:proofErr w:type="spellEnd"/>
            <w:r w:rsidRPr="00F60A48">
              <w:rPr>
                <w:rFonts w:ascii="Courier New" w:eastAsia="Times New Roman" w:hAnsi="Courier New" w:cs="Courier New"/>
                <w:lang w:eastAsia="ru-RU"/>
              </w:rPr>
              <w:t xml:space="preserve"> МО за 2018г"</w:t>
            </w:r>
          </w:p>
        </w:tc>
      </w:tr>
      <w:tr w:rsidR="00E52E57" w:rsidRPr="00E52E57" w:rsidTr="001A75BC">
        <w:trPr>
          <w:trHeight w:val="255"/>
        </w:trPr>
        <w:tc>
          <w:tcPr>
            <w:tcW w:w="4251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E52E57" w:rsidRPr="00F60A48" w:rsidRDefault="00E52E57" w:rsidP="001A75BC">
            <w:pPr>
              <w:spacing w:after="0" w:line="256" w:lineRule="auto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42" w:type="dxa"/>
            <w:gridSpan w:val="3"/>
            <w:noWrap/>
            <w:vAlign w:val="center"/>
            <w:hideMark/>
          </w:tcPr>
          <w:p w:rsidR="00E52E57" w:rsidRDefault="00F60A48" w:rsidP="001A75BC">
            <w:pPr>
              <w:spacing w:after="0" w:line="240" w:lineRule="auto"/>
              <w:ind w:left="13" w:right="1004"/>
              <w:rPr>
                <w:rFonts w:ascii="Courier New" w:eastAsia="Times New Roman" w:hAnsi="Courier New" w:cs="Courier New"/>
                <w:lang w:eastAsia="ru-RU"/>
              </w:rPr>
            </w:pPr>
            <w:r w:rsidRPr="00F60A48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E52E57" w:rsidRPr="00F60A48">
              <w:rPr>
                <w:rFonts w:ascii="Courier New" w:eastAsia="Times New Roman" w:hAnsi="Courier New" w:cs="Courier New"/>
                <w:lang w:eastAsia="ru-RU"/>
              </w:rPr>
              <w:t>т</w:t>
            </w:r>
            <w:r>
              <w:rPr>
                <w:rFonts w:ascii="Courier New" w:eastAsia="Times New Roman" w:hAnsi="Courier New" w:cs="Courier New"/>
                <w:lang w:eastAsia="ru-RU"/>
              </w:rPr>
              <w:t>17.04.</w:t>
            </w:r>
            <w:r w:rsidR="00E52E57" w:rsidRPr="00F60A48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A75B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E52E57" w:rsidRPr="00F60A48">
              <w:rPr>
                <w:rFonts w:ascii="Courier New" w:eastAsia="Times New Roman" w:hAnsi="Courier New" w:cs="Courier New"/>
                <w:lang w:eastAsia="ru-RU"/>
              </w:rPr>
              <w:t>г.№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22/2</w:t>
            </w:r>
          </w:p>
          <w:p w:rsidR="00F60A48" w:rsidRPr="00F60A48" w:rsidRDefault="00F60A48" w:rsidP="001A75BC">
            <w:pPr>
              <w:spacing w:after="0" w:line="240" w:lineRule="auto"/>
              <w:ind w:right="100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2E57" w:rsidRPr="00E52E57" w:rsidTr="001A75BC">
        <w:trPr>
          <w:trHeight w:val="870"/>
        </w:trPr>
        <w:tc>
          <w:tcPr>
            <w:tcW w:w="9991" w:type="dxa"/>
            <w:gridSpan w:val="5"/>
            <w:hideMark/>
          </w:tcPr>
          <w:p w:rsidR="00F60A48" w:rsidRDefault="00F60A48" w:rsidP="00E52E57">
            <w:pPr>
              <w:spacing w:after="0" w:line="240" w:lineRule="auto"/>
              <w:ind w:right="906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ДОХОДЫ АДМИНИСТРАЦИИ НЕПСКОГО МУНИЦИПАЛЬНОГО ОБРАЗОВАНИЯ ПО КОДАМ ВИДОВ ДОХОДОВ</w:t>
            </w:r>
            <w:r w:rsidR="001A75B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, ПОДВИДОВ ДОХОДОВ, КЛАССИФИКАЦИИ ОПЕРАЦИЙ СЕКТОРА ГОСУДАРСТВЕННОГО УПРАВЛЕНИЯ, ОТНОСЯЩИЕСЯ К ДОХОДАМ БЮДЖЕТА ЗА 2018 ГОД</w:t>
            </w:r>
          </w:p>
          <w:p w:rsidR="00E52E57" w:rsidRPr="00E52E57" w:rsidRDefault="00E52E57" w:rsidP="001A75BC">
            <w:pPr>
              <w:spacing w:after="0" w:line="240" w:lineRule="auto"/>
              <w:ind w:right="9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5BC" w:rsidRPr="00E52E57" w:rsidTr="001A75BC">
        <w:trPr>
          <w:gridAfter w:val="1"/>
          <w:wAfter w:w="236" w:type="dxa"/>
          <w:trHeight w:val="11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доходов бюджета по кодам видов доходов, подвидов доходов, классификации операций сектора государственного 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План на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 за 2018г.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% исполнения </w:t>
            </w:r>
          </w:p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 году </w:t>
            </w:r>
          </w:p>
        </w:tc>
      </w:tr>
      <w:tr w:rsidR="001A75BC" w:rsidRPr="00E52E57" w:rsidTr="001A75BC">
        <w:trPr>
          <w:gridAfter w:val="1"/>
          <w:wAfter w:w="236" w:type="dxa"/>
          <w:trHeight w:val="4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Доходы бюджета - всего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19 535 440,00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19 199 828,75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1A75BC" w:rsidRPr="00E52E57" w:rsidTr="001A75BC">
        <w:trPr>
          <w:gridAfter w:val="1"/>
          <w:wAfter w:w="236" w:type="dxa"/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125" w:type="dxa"/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4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000 10000000000000000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13 538 400,00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13 203 488,75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1A75BC" w:rsidRPr="00E52E57" w:rsidTr="001A75BC">
        <w:trPr>
          <w:gridAfter w:val="1"/>
          <w:wAfter w:w="236" w:type="dxa"/>
          <w:trHeight w:val="4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182 10100000000000000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11 986 184,55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1A75BC" w:rsidRPr="00E52E57" w:rsidTr="001A75BC">
        <w:trPr>
          <w:gridAfter w:val="1"/>
          <w:wAfter w:w="236" w:type="dxa"/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182 10102000010000110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11 986 184,55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1A75BC" w:rsidRPr="00E52E57" w:rsidTr="001A75BC">
        <w:trPr>
          <w:gridAfter w:val="1"/>
          <w:wAfter w:w="236" w:type="dxa"/>
          <w:trHeight w:val="17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182 10102010011000110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12 400 000,00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11 729 393,34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1A75BC" w:rsidRPr="00E52E57" w:rsidTr="001A75BC">
        <w:trPr>
          <w:gridAfter w:val="1"/>
          <w:wAfter w:w="236" w:type="dxa"/>
          <w:trHeight w:val="4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1A75BC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lastRenderedPageBreak/>
              <w:t>182 10102010012100110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102 207,45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2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182 10102010013000110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163 980,48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1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182 10102010014000110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-9 396,72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100 10300000000000000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999 400,00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1 079 731,11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</w:tr>
      <w:tr w:rsidR="001A75BC" w:rsidRPr="00E52E57" w:rsidTr="001A75BC">
        <w:trPr>
          <w:gridAfter w:val="1"/>
          <w:wAfter w:w="236" w:type="dxa"/>
          <w:trHeight w:val="4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100 10302000010000110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999 400,00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1 079 731,11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</w:tr>
      <w:tr w:rsidR="001A75BC" w:rsidRPr="00E52E57" w:rsidTr="001A75BC">
        <w:trPr>
          <w:gridAfter w:val="1"/>
          <w:wAfter w:w="236" w:type="dxa"/>
          <w:trHeight w:val="1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100 10302230010000110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437 790,00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481 090,72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</w:tr>
      <w:tr w:rsidR="001A75BC" w:rsidRPr="00E52E57" w:rsidTr="001A75BC">
        <w:trPr>
          <w:gridAfter w:val="1"/>
          <w:wAfter w:w="236" w:type="dxa"/>
          <w:trHeight w:val="15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100 10302240010000110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4 994,00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4 633,29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1A75BC" w:rsidRPr="00E52E57" w:rsidTr="001A75BC">
        <w:trPr>
          <w:gridAfter w:val="1"/>
          <w:wAfter w:w="236" w:type="dxa"/>
          <w:trHeight w:val="1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100 10302250010000110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642 640,00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701 798,74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</w:tr>
      <w:tr w:rsidR="001A75BC" w:rsidRPr="00E52E57" w:rsidTr="001A75BC">
        <w:trPr>
          <w:gridAfter w:val="1"/>
          <w:wAfter w:w="236" w:type="dxa"/>
          <w:trHeight w:val="1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100 10302260010000110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-86 024,00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-107 791,64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182 10600000000000000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139 000,00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137 573,09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182 10601000000000110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9 922,44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182 10601030100000110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9 922,44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</w:tr>
      <w:tr w:rsidR="001A75BC" w:rsidRPr="00E52E57" w:rsidTr="001A75BC">
        <w:trPr>
          <w:gridAfter w:val="1"/>
          <w:wAfter w:w="236" w:type="dxa"/>
          <w:trHeight w:val="1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182 10601030101000110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9 871,15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A75BC" w:rsidRPr="00E52E57" w:rsidTr="001A75BC">
        <w:trPr>
          <w:gridAfter w:val="1"/>
          <w:wAfter w:w="236" w:type="dxa"/>
          <w:trHeight w:val="9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182 10601030102100110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182 10606000000000110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131 000,00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127 650,65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182 10606030000000110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110 931,76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182 10606033100000110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110 931,76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182 10606040000000110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16 718,89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182 10606043100000110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16 718,89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914 20000000000000000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5 997 040,00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5 996 340,00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914 20200000000000000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5 997 040,00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5 996 340,00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4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914 20210000000000151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914 20215001000000151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4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914 20215001100000151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5 762 740,00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914 20229999000000151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2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914 20229999100000151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(Реализация мероприятий перечня проектов народных инициатив)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914 20229999100056151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123 200,00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4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914 20230000000000151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111 100,00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914 20230024000000151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914 20230024100000151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A75BC" w:rsidRPr="00E52E57" w:rsidTr="001A75BC">
        <w:trPr>
          <w:gridAfter w:val="1"/>
          <w:wAfter w:w="236" w:type="dxa"/>
          <w:trHeight w:val="6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914 20235118000000151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A75BC" w:rsidRPr="00E52E57" w:rsidTr="001A75BC">
        <w:trPr>
          <w:gridAfter w:val="1"/>
          <w:wAfter w:w="236" w:type="dxa"/>
          <w:trHeight w:val="69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914 20235118100000151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BC" w:rsidRPr="001A75BC" w:rsidRDefault="001A75BC" w:rsidP="00E52E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5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tbl>
      <w:tblPr>
        <w:tblW w:w="1032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566"/>
        <w:gridCol w:w="4462"/>
        <w:gridCol w:w="707"/>
        <w:gridCol w:w="284"/>
        <w:gridCol w:w="496"/>
        <w:gridCol w:w="579"/>
        <w:gridCol w:w="626"/>
        <w:gridCol w:w="1204"/>
        <w:gridCol w:w="142"/>
        <w:gridCol w:w="708"/>
        <w:gridCol w:w="84"/>
        <w:gridCol w:w="7"/>
      </w:tblGrid>
      <w:tr w:rsidR="00E52E57" w:rsidRPr="00E52E57" w:rsidTr="001A75BC">
        <w:trPr>
          <w:gridAfter w:val="2"/>
          <w:wAfter w:w="91" w:type="dxa"/>
          <w:trHeight w:val="156"/>
        </w:trPr>
        <w:tc>
          <w:tcPr>
            <w:tcW w:w="455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hideMark/>
          </w:tcPr>
          <w:p w:rsidR="00E52E57" w:rsidRPr="001A75BC" w:rsidRDefault="001A75BC" w:rsidP="001A75BC">
            <w:pPr>
              <w:tabs>
                <w:tab w:val="right" w:pos="1539"/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ind w:right="810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ab/>
            </w:r>
            <w:r w:rsidR="00E52E57" w:rsidRPr="001A75BC">
              <w:rPr>
                <w:rFonts w:ascii="Courier New" w:eastAsia="Calibri" w:hAnsi="Courier New" w:cs="Courier New"/>
                <w:color w:val="000000"/>
              </w:rPr>
              <w:t>Приложение3</w:t>
            </w:r>
          </w:p>
        </w:tc>
        <w:tc>
          <w:tcPr>
            <w:tcW w:w="850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1A75BC">
        <w:trPr>
          <w:gridAfter w:val="2"/>
          <w:wAfter w:w="91" w:type="dxa"/>
          <w:trHeight w:val="878"/>
        </w:trPr>
        <w:tc>
          <w:tcPr>
            <w:tcW w:w="455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8"/>
            <w:hideMark/>
          </w:tcPr>
          <w:p w:rsidR="00E52E57" w:rsidRPr="001A75BC" w:rsidRDefault="00E52E57" w:rsidP="001A75BC">
            <w:pPr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1A75BC">
              <w:rPr>
                <w:rFonts w:ascii="Courier New" w:eastAsia="Calibri" w:hAnsi="Courier New" w:cs="Courier New"/>
                <w:color w:val="000000"/>
              </w:rPr>
              <w:t xml:space="preserve">к Решению </w:t>
            </w:r>
            <w:proofErr w:type="gramStart"/>
            <w:r w:rsidRPr="001A75BC">
              <w:rPr>
                <w:rFonts w:ascii="Courier New" w:eastAsia="Calibri" w:hAnsi="Courier New" w:cs="Courier New"/>
                <w:color w:val="000000"/>
              </w:rPr>
              <w:t>думы  Администрации</w:t>
            </w:r>
            <w:proofErr w:type="gramEnd"/>
            <w:r w:rsidRPr="001A75B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1A75BC">
              <w:rPr>
                <w:rFonts w:ascii="Courier New" w:eastAsia="Calibri" w:hAnsi="Courier New" w:cs="Courier New"/>
                <w:color w:val="000000"/>
              </w:rPr>
              <w:t>Непского</w:t>
            </w:r>
            <w:proofErr w:type="spellEnd"/>
            <w:r w:rsidRPr="001A75BC">
              <w:rPr>
                <w:rFonts w:ascii="Courier New" w:eastAsia="Calibri" w:hAnsi="Courier New" w:cs="Courier New"/>
                <w:color w:val="000000"/>
              </w:rPr>
              <w:t xml:space="preserve"> муниципальног</w:t>
            </w:r>
            <w:r w:rsidR="001A75BC" w:rsidRPr="001A75BC">
              <w:rPr>
                <w:rFonts w:ascii="Courier New" w:eastAsia="Calibri" w:hAnsi="Courier New" w:cs="Courier New"/>
                <w:color w:val="000000"/>
              </w:rPr>
              <w:t xml:space="preserve">о </w:t>
            </w:r>
            <w:r w:rsidRPr="001A75BC">
              <w:rPr>
                <w:rFonts w:ascii="Courier New" w:eastAsia="Calibri" w:hAnsi="Courier New" w:cs="Courier New"/>
                <w:color w:val="000000"/>
              </w:rPr>
              <w:t xml:space="preserve">образования "Об исполнении бюджета </w:t>
            </w:r>
            <w:proofErr w:type="spellStart"/>
            <w:r w:rsidRPr="001A75BC">
              <w:rPr>
                <w:rFonts w:ascii="Courier New" w:eastAsia="Calibri" w:hAnsi="Courier New" w:cs="Courier New"/>
                <w:color w:val="000000"/>
              </w:rPr>
              <w:t>Непского</w:t>
            </w:r>
            <w:proofErr w:type="spellEnd"/>
            <w:r w:rsidRPr="001A75BC">
              <w:rPr>
                <w:rFonts w:ascii="Courier New" w:eastAsia="Calibri" w:hAnsi="Courier New" w:cs="Courier New"/>
                <w:color w:val="000000"/>
              </w:rPr>
              <w:t xml:space="preserve"> МО за 2018г</w:t>
            </w:r>
          </w:p>
        </w:tc>
      </w:tr>
      <w:tr w:rsidR="001A75BC" w:rsidRPr="00E52E57" w:rsidTr="001A75BC">
        <w:trPr>
          <w:gridAfter w:val="4"/>
          <w:wAfter w:w="941" w:type="dxa"/>
          <w:trHeight w:val="156"/>
        </w:trPr>
        <w:tc>
          <w:tcPr>
            <w:tcW w:w="455" w:type="dxa"/>
          </w:tcPr>
          <w:p w:rsidR="001A75BC" w:rsidRPr="00E52E57" w:rsidRDefault="001A75BC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" w:name="_GoBack" w:colFirst="4" w:colLast="4"/>
          </w:p>
        </w:tc>
        <w:tc>
          <w:tcPr>
            <w:tcW w:w="566" w:type="dxa"/>
          </w:tcPr>
          <w:p w:rsidR="001A75BC" w:rsidRPr="00E52E57" w:rsidRDefault="001A75BC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</w:tcPr>
          <w:p w:rsidR="001A75BC" w:rsidRPr="00E52E57" w:rsidRDefault="001A75BC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1A75BC" w:rsidRPr="00E52E57" w:rsidRDefault="001A75BC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1A75BC" w:rsidRPr="00E52E57" w:rsidRDefault="001A75BC" w:rsidP="001A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 №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1A75BC" w:rsidRPr="00E52E57" w:rsidRDefault="001A75BC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E52E57" w:rsidRPr="00E52E57" w:rsidTr="001A75BC">
        <w:trPr>
          <w:gridAfter w:val="2"/>
          <w:wAfter w:w="91" w:type="dxa"/>
          <w:trHeight w:val="156"/>
        </w:trPr>
        <w:tc>
          <w:tcPr>
            <w:tcW w:w="10229" w:type="dxa"/>
            <w:gridSpan w:val="11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бюджета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ведомственной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структуре расходов  за 2018 год.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6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62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</w:tr>
      <w:tr w:rsidR="00E52E57" w:rsidRPr="00E52E57" w:rsidTr="001A75BC">
        <w:trPr>
          <w:gridAfter w:val="2"/>
          <w:wAfter w:w="91" w:type="dxa"/>
          <w:trHeight w:val="468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План на год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Исполнено 2018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E52E57" w:rsidRPr="00E52E57" w:rsidTr="001A75BC">
        <w:trPr>
          <w:gridAfter w:val="2"/>
          <w:wAfter w:w="91" w:type="dxa"/>
          <w:trHeight w:val="21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Cs/>
                <w:color w:val="000000"/>
              </w:rPr>
              <w:t>8147 292,91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Cs/>
                <w:color w:val="000000"/>
              </w:rPr>
              <w:t>7 763826,96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</w:tr>
      <w:tr w:rsidR="00E52E57" w:rsidRPr="00E52E57" w:rsidTr="001A75BC">
        <w:trPr>
          <w:gridAfter w:val="2"/>
          <w:wAfter w:w="91" w:type="dxa"/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996 380,75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990 149,74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996 380,75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990 149,74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1100000000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996 380,75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990 149,74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52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6 363 633,53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6 187 533,70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«Обеспечение деятельности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2018 - 2020 годы»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6 363 633,53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6 187 533,70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</w:tr>
      <w:tr w:rsidR="00E52E57" w:rsidRPr="00E52E57" w:rsidTr="001A75BC">
        <w:trPr>
          <w:gridAfter w:val="2"/>
          <w:wAfter w:w="91" w:type="dxa"/>
          <w:trHeight w:val="9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Расходы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на выплаты по оплате труда работников органов местного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самоуправления,расходы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6 363 633,53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6 187 533,70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4 054 853,63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3 991 451,02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2 241 467,06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2 128 769,84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67 312,84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67 312,84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 проведения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выборов и референдумов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«Обеспечение деятельности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2018 - 2020 годы»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411 607,00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1300200000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411 607,00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411 607,00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– 2020 годы»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1700000000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1700200000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Другие  общегосударственные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175 671,63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174 536,52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2018-2020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174 971,63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174 536,52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55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Эффективное и рациональное использование муниципального имущества, увеличение доходной части бюджета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 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174 971,63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174 536,52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2500100000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174 971,63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174 536,52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9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«Обеспечение деятельности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2018 - 2020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9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1300473150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1300473150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93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«Национальная оборона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2018-2020 годы»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110 400,00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2600151180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110 400,00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110 400,00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2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613 156,00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613 138,39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613 156,00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613 138,39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Предупреждение, ликвидация чрезвычайных ситуаций и обеспечение </w:t>
            </w: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пожарной безопасности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– 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1700000000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613 156,00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613 138,39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7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613 156,00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613 138,39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1700100000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613 156,00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613 138,39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2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1 781 759,79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772 309,18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– 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E52E57" w:rsidRPr="00E52E57" w:rsidTr="001A75BC">
        <w:trPr>
          <w:gridAfter w:val="2"/>
          <w:wAfter w:w="91" w:type="dxa"/>
          <w:trHeight w:val="7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1700100000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1 380 759,79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717 309,18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комплексного развития транспортной   инфраструктуры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2017 – 2026 годы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1 380 759,79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717 309,18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E52E57" w:rsidRPr="00E52E57" w:rsidTr="001A75BC">
        <w:trPr>
          <w:gridAfter w:val="2"/>
          <w:wAfter w:w="91" w:type="dxa"/>
          <w:trHeight w:val="9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 Обеспечение сохранности автомобильных дорог общего пользования местного значения, повышение качества улично-дорожной сети и обеспечение безопасности движения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1 380 759,79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717 309,18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2200100000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1 380 759,79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717 309,18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Другие  вопросы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301 000,00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2018-2020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67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Строительство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(приобретение) здания администрации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2500200000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Капитальные вложения в объекты 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lastRenderedPageBreak/>
              <w:t>2500200000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Непском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на 2018-2020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9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Предоставление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информационной и организационной поддержки субъектам малого 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и среднего предпринимательства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37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1600200000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25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18 241 061,25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15 135 521,08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298 026,62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малоимущих граждан жилыми помещениями по договорам социального найма в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Непском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на 2018-2020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298 026,62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55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Приобретение, ремонт муниципального жилья для граждан, проживающих в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Непском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муниципальном образовании и нуждающихся в улучшении жилищных условий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298 026,62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2300100000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298 026,62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4 607 080,00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1 843 905,92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– 2020 годы»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4 607 080,00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1 843 905,92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E52E57" w:rsidRPr="00E52E57" w:rsidTr="001A75BC">
        <w:trPr>
          <w:gridAfter w:val="2"/>
          <w:wAfter w:w="91" w:type="dxa"/>
          <w:trHeight w:val="7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Обеспечение надежности и содержание системы электроснабжения (ремонт линий электропередач в населенных пунктах, содержание, ремонт, замена светильников уличного освещения и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</w:rPr>
              <w:t>т .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>д.)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4 607 080,00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1 843 905,92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2400100000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4 607 080,00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1 843 905,92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3 223 408,00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3 030 236,28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</w:tr>
      <w:tr w:rsidR="00E52E57" w:rsidRPr="00E52E57" w:rsidTr="001A75BC">
        <w:trPr>
          <w:gridAfter w:val="2"/>
          <w:wAfter w:w="91" w:type="dxa"/>
          <w:trHeight w:val="9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период 2018 - 2020 годы»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3 086 519,00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2 893 347,28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</w:tr>
      <w:tr w:rsidR="00E52E57" w:rsidRPr="00E52E57" w:rsidTr="001A75BC">
        <w:trPr>
          <w:gridAfter w:val="2"/>
          <w:wAfter w:w="91" w:type="dxa"/>
          <w:trHeight w:val="12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Установка элементов благоустройства (лавочек, контейнеров и т.д.), озеленение территории, содержание кладбищ, содержание и ремонт памятников, 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благоусройству</w:t>
            </w:r>
            <w:proofErr w:type="spellEnd"/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1500100000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3 086 519,00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2 893 347,28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1500100000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2 186 519,00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1 897 034,24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123 200,00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123 200,00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123 200,00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123 200,00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13 689,00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13 689,00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13 689,00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13 689,00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E52E57" w:rsidRPr="00E52E57" w:rsidTr="001A75BC">
        <w:trPr>
          <w:gridAfter w:val="2"/>
          <w:wAfter w:w="91" w:type="dxa"/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Другие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вопросы  в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области жилищно- коммунального хозяйства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10 110 573,25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9 963 352,26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7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комплексного развития систем коммунальной   инфраструктуры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2017 – 2026 годы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10 110 573,25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9 963 352,26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Развитие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и содержание коммунального хозяйства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10 110 573,25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9 963 352,26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2100100000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10 110 573,25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9 963 352,26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E52E57" w:rsidRPr="00E52E57" w:rsidTr="001A75BC">
        <w:trPr>
          <w:gridAfter w:val="2"/>
          <w:wAfter w:w="91" w:type="dxa"/>
          <w:trHeight w:val="4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культуры, спорта и здорового образа жизни в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Непском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на 2018-2020 годы»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55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</w:rPr>
              <w:t>состояние ,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физическое воспитание населения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3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52E57" w:rsidRPr="00E52E57" w:rsidTr="001A75BC">
        <w:trPr>
          <w:gridAfter w:val="2"/>
          <w:wAfter w:w="91" w:type="dxa"/>
          <w:trHeight w:val="4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1 044 750,37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779 360,00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1 044 750,37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779 360,00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E52E57" w:rsidRPr="00E52E57" w:rsidTr="001A75BC">
        <w:trPr>
          <w:gridAfter w:val="2"/>
          <w:wAfter w:w="91" w:type="dxa"/>
          <w:trHeight w:val="5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«Обеспечение деятельности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2018 - 2020 годы»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1 044 750,37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779 360,00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E52E57" w:rsidRPr="00E52E57" w:rsidTr="001A75BC">
        <w:trPr>
          <w:gridAfter w:val="2"/>
          <w:wAfter w:w="91" w:type="dxa"/>
          <w:trHeight w:val="55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E52E57">
              <w:rPr>
                <w:rFonts w:ascii="Times New Roman" w:eastAsia="Calibri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1300300000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1 044 750,37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779 360,00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1300300000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1 044 750,37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779 360,00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30 088 420,32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25 174 555,61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6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62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4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52E57" w:rsidRPr="00E52E57" w:rsidTr="001A75BC">
        <w:trPr>
          <w:gridAfter w:val="2"/>
          <w:wAfter w:w="91" w:type="dxa"/>
          <w:trHeight w:val="182"/>
        </w:trPr>
        <w:tc>
          <w:tcPr>
            <w:tcW w:w="455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6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62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4" w:type="dxa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52E57" w:rsidRPr="00E52E57" w:rsidTr="001A75BC">
        <w:trPr>
          <w:trHeight w:val="194"/>
        </w:trPr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Приложение №4 </w:t>
            </w:r>
          </w:p>
        </w:tc>
        <w:tc>
          <w:tcPr>
            <w:tcW w:w="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1A75BC">
        <w:trPr>
          <w:gridAfter w:val="1"/>
          <w:wAfter w:w="7" w:type="dxa"/>
          <w:trHeight w:val="1010"/>
        </w:trPr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образования  "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исполнении бюджета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 за 2018г"</w:t>
            </w:r>
          </w:p>
        </w:tc>
      </w:tr>
      <w:tr w:rsidR="00E52E57" w:rsidRPr="00E52E57" w:rsidTr="001A75BC">
        <w:trPr>
          <w:trHeight w:val="194"/>
        </w:trPr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 .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№    </w:t>
            </w:r>
          </w:p>
        </w:tc>
        <w:tc>
          <w:tcPr>
            <w:tcW w:w="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E57" w:rsidRPr="00E52E57" w:rsidTr="001A75BC">
        <w:trPr>
          <w:gridAfter w:val="1"/>
          <w:wAfter w:w="7" w:type="dxa"/>
          <w:trHeight w:val="504"/>
        </w:trPr>
        <w:tc>
          <w:tcPr>
            <w:tcW w:w="1031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бюджета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по разделам и подразделам классификации расходов бюджета за 2018 год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7" w:rsidRPr="00E52E57" w:rsidTr="001A75BC">
        <w:trPr>
          <w:trHeight w:val="586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 на год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Исполнено за   2018г. 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8 147 292,91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7 763 826,96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52E57" w:rsidRPr="00E52E57" w:rsidTr="001A75BC">
        <w:trPr>
          <w:trHeight w:val="4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996 380,75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990 149,74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52E57" w:rsidRPr="00E52E57" w:rsidTr="001A75BC">
        <w:trPr>
          <w:trHeight w:val="7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6 363 633,53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6 187 533,70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411 607,00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411 607,00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175 671,63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174 536,52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E57" w:rsidRPr="00E52E57" w:rsidTr="001A75BC">
        <w:trPr>
          <w:trHeight w:val="4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613 156,00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613 138,39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613 156,00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613 138,39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1 781 759,79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772 309,18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Водное хозяйство  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1 380 759,79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717 309,18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 вопросы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области национальной экономики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18 241 061,25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15 135 521,08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298 026,62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4 607 080,00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1 843 905,92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3 223 408,00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3 030 236,28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52E57" w:rsidRPr="00E52E57" w:rsidTr="001A75BC">
        <w:trPr>
          <w:trHeight w:val="35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10 110 573,25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9 963 352,26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E57" w:rsidRPr="00E52E57" w:rsidTr="001A75BC">
        <w:trPr>
          <w:trHeight w:val="7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1 044 750,37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779 360,00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1 044 750,37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779 360,00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52E57" w:rsidRPr="00E52E57" w:rsidTr="001A75BC">
        <w:trPr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30 088 420,32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25 174 555,61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tbl>
      <w:tblPr>
        <w:tblW w:w="1008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293"/>
        <w:gridCol w:w="2488"/>
        <w:gridCol w:w="1290"/>
        <w:gridCol w:w="3002"/>
        <w:gridCol w:w="7"/>
      </w:tblGrid>
      <w:tr w:rsidR="00E52E57" w:rsidRPr="00E52E57" w:rsidTr="00E52E57">
        <w:trPr>
          <w:trHeight w:val="230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№5</w:t>
            </w:r>
          </w:p>
        </w:tc>
        <w:tc>
          <w:tcPr>
            <w:tcW w:w="1289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E52E57">
        <w:trPr>
          <w:trHeight w:val="746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4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муниципального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 "Об исполнении бюджета </w:t>
            </w:r>
            <w:proofErr w:type="spell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 за 2018 г"</w:t>
            </w:r>
          </w:p>
        </w:tc>
      </w:tr>
      <w:tr w:rsidR="00E52E57" w:rsidRPr="00E52E57" w:rsidTr="00E52E57">
        <w:trPr>
          <w:trHeight w:val="230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 г.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№   </w:t>
            </w:r>
          </w:p>
        </w:tc>
        <w:tc>
          <w:tcPr>
            <w:tcW w:w="1289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E52E57">
        <w:trPr>
          <w:trHeight w:val="230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E52E57">
        <w:trPr>
          <w:gridAfter w:val="1"/>
          <w:wAfter w:w="7" w:type="dxa"/>
          <w:trHeight w:val="991"/>
        </w:trPr>
        <w:tc>
          <w:tcPr>
            <w:tcW w:w="10068" w:type="dxa"/>
            <w:gridSpan w:val="4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Администрации </w:t>
            </w:r>
            <w:proofErr w:type="spell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Непского</w:t>
            </w:r>
            <w:proofErr w:type="spell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 по </w:t>
            </w: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кодам  групп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 за  2018 г.</w:t>
            </w:r>
          </w:p>
        </w:tc>
      </w:tr>
      <w:tr w:rsidR="00E52E57" w:rsidRPr="00E52E57" w:rsidTr="00E52E57">
        <w:trPr>
          <w:trHeight w:val="230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E57" w:rsidRPr="00E52E57" w:rsidTr="00E52E57">
        <w:trPr>
          <w:trHeight w:val="204"/>
        </w:trPr>
        <w:tc>
          <w:tcPr>
            <w:tcW w:w="3291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gridSpan w:val="2"/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E52E57" w:rsidRPr="00E52E57" w:rsidTr="00E52E57">
        <w:trPr>
          <w:trHeight w:val="4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Код бюджетной классификации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 на год 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Исполнено  за</w:t>
            </w:r>
            <w:proofErr w:type="gramEnd"/>
            <w:r w:rsidRPr="00E52E5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2018г.</w:t>
            </w:r>
          </w:p>
        </w:tc>
      </w:tr>
      <w:tr w:rsidR="00E52E57" w:rsidRPr="00E52E57" w:rsidTr="00E52E57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ДЕФИЦИТОВ  БЮДЖЕТОВ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01  00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10 552 980,32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5 974 726,86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Кредиты кредитных организаций в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валюте  Российской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01  02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Получение кредитов от кредитных организаций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 валюте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01  02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00  00  00  0000  700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52E57" w:rsidRPr="00E52E57" w:rsidTr="00E52E57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Получение кредитов от кредитных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организаций  бюджетами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муниципальных районов в валюте  Российской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01  02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00  00  10  0000  710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Бюджетные кредиты от других бюджетов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бюджетной  системы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01  03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52E57" w:rsidRPr="00E52E57" w:rsidTr="00E52E57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Погашение бюджетных кредитов, полученных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 других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бюджетов бюджетной системы Российской  Федерации в валюте Российской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01  03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00  00  00  0000  800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52E57" w:rsidRPr="00E52E57" w:rsidTr="00E52E57">
        <w:trPr>
          <w:trHeight w:val="8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Погашение бюджетами муниципальных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районов  кредитов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01  03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00  00  10  0000  810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Изменение остатков средств на счетах по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учету  средств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10 552 980,32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5 974 726,86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-19 535 440,00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-19 199 828,75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  бюджетов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02  01  00  0000  510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-19 535 440,00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-19 199 828,75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  бюджетов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муниципальных районов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02  01  10  0000  510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-19 535 440,00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-19 199 828,75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00  00  00  0000  600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30 088 420,32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25 174 555,61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  бюджетов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02  01  00  0000  610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30 088 420,32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25 174 555,61</w:t>
            </w:r>
          </w:p>
        </w:tc>
      </w:tr>
      <w:tr w:rsidR="00E52E57" w:rsidRPr="00E52E57" w:rsidTr="00E52E57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  бюджетов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муниципальных районов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000 </w:t>
            </w:r>
            <w:proofErr w:type="gramStart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01  05</w:t>
            </w:r>
            <w:proofErr w:type="gramEnd"/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02  01  10  0000  610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30 088 420,32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57" w:rsidRPr="00E52E57" w:rsidRDefault="00E52E57" w:rsidP="00E5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5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25 174 555,61</w:t>
            </w:r>
          </w:p>
        </w:tc>
      </w:tr>
    </w:tbl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16"/>
        <w:gridCol w:w="460"/>
        <w:gridCol w:w="1380"/>
        <w:gridCol w:w="960"/>
        <w:gridCol w:w="2454"/>
        <w:gridCol w:w="1560"/>
        <w:gridCol w:w="1417"/>
        <w:gridCol w:w="1418"/>
      </w:tblGrid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№7 </w:t>
            </w:r>
          </w:p>
        </w:tc>
      </w:tr>
      <w:tr w:rsidR="00E52E57" w:rsidRPr="00E52E57" w:rsidTr="00E52E57">
        <w:trPr>
          <w:trHeight w:val="139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</w:t>
            </w: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Администрации </w:t>
            </w:r>
            <w:proofErr w:type="spell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Непского</w:t>
            </w:r>
            <w:proofErr w:type="spell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исполнении бюджета </w:t>
            </w:r>
            <w:proofErr w:type="spell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Непского</w:t>
            </w:r>
            <w:proofErr w:type="spell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за 2018г"</w:t>
            </w:r>
          </w:p>
        </w:tc>
      </w:tr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г.</w:t>
            </w:r>
            <w:proofErr w:type="gram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  </w:t>
            </w:r>
          </w:p>
        </w:tc>
      </w:tr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52E57" w:rsidRPr="00E52E57" w:rsidTr="00E52E57">
        <w:trPr>
          <w:trHeight w:val="480"/>
        </w:trPr>
        <w:tc>
          <w:tcPr>
            <w:tcW w:w="10065" w:type="dxa"/>
            <w:gridSpan w:val="8"/>
            <w:vAlign w:val="bottom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об исполнении резервного фонда по Администрации </w:t>
            </w:r>
            <w:proofErr w:type="spell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Непского</w:t>
            </w:r>
            <w:proofErr w:type="spell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за 2018 год</w:t>
            </w:r>
          </w:p>
        </w:tc>
      </w:tr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52E57" w:rsidRPr="00E52E57" w:rsidTr="00E52E57">
        <w:trPr>
          <w:trHeight w:val="255"/>
        </w:trPr>
        <w:tc>
          <w:tcPr>
            <w:tcW w:w="416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52E57" w:rsidRPr="00E52E57" w:rsidRDefault="00E52E57" w:rsidP="00E52E5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52E57" w:rsidRPr="00E52E57" w:rsidTr="00E52E57">
        <w:trPr>
          <w:trHeight w:val="7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Исполнено за   2018г.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исполнения к году  </w:t>
            </w:r>
          </w:p>
        </w:tc>
      </w:tr>
      <w:tr w:rsidR="00E52E57" w:rsidRPr="00E52E57" w:rsidTr="00E52E5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-     </w:t>
            </w:r>
          </w:p>
        </w:tc>
      </w:tr>
      <w:tr w:rsidR="00E52E57" w:rsidRPr="00E52E57" w:rsidTr="00E52E57">
        <w:trPr>
          <w:trHeight w:val="18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Резервный фонд администрации </w:t>
            </w:r>
            <w:proofErr w:type="spellStart"/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Непского</w:t>
            </w:r>
            <w:proofErr w:type="spellEnd"/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-     </w:t>
            </w:r>
          </w:p>
        </w:tc>
      </w:tr>
      <w:tr w:rsidR="00E52E57" w:rsidRPr="00E52E57" w:rsidTr="00E52E5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бюджетные</w:t>
            </w:r>
            <w:proofErr w:type="gramEnd"/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57" w:rsidRPr="00E52E57" w:rsidRDefault="00E52E57" w:rsidP="00E5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-     </w:t>
            </w:r>
          </w:p>
        </w:tc>
      </w:tr>
    </w:tbl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p w:rsidR="00E52E57" w:rsidRPr="00E52E57" w:rsidRDefault="00E52E57" w:rsidP="00E52E57">
      <w:pPr>
        <w:tabs>
          <w:tab w:val="left" w:pos="1845"/>
        </w:tabs>
        <w:spacing w:line="252" w:lineRule="auto"/>
        <w:rPr>
          <w:rFonts w:ascii="Calibri" w:eastAsia="Calibri" w:hAnsi="Calibri" w:cs="Times New Roman"/>
        </w:rPr>
      </w:pP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годовому отчету об исполнении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 </w:t>
      </w:r>
      <w:proofErr w:type="spellStart"/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Непского</w:t>
      </w:r>
      <w:proofErr w:type="spellEnd"/>
      <w:proofErr w:type="gramEnd"/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 год.</w:t>
      </w:r>
    </w:p>
    <w:p w:rsidR="00E52E57" w:rsidRPr="00E52E57" w:rsidRDefault="00E52E57" w:rsidP="00E52E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2E57" w:rsidRPr="00E52E57" w:rsidRDefault="00E52E57" w:rsidP="00E52E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 2018</w:t>
      </w:r>
      <w:proofErr w:type="gramEnd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 в бюджет </w:t>
      </w:r>
      <w:proofErr w:type="spellStart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образования по доходам при плане 19535,4 тыс. руб. поступило 19199,8 тыс. руб., 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Выполнение доходной части бюджета по налоговым платежам составило 13203,5 при плане 13538,4 тыс. руб.,   отклонение на 334,9 тыс. руб. в том числе:</w:t>
      </w:r>
    </w:p>
    <w:p w:rsidR="00E52E57" w:rsidRPr="00E52E57" w:rsidRDefault="00E52E57" w:rsidP="00E52E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налог на доходы с физических лиц при плане 12400,0 тыс. руб. исполнение составило 11986,2 тыс. руб.</w:t>
      </w:r>
    </w:p>
    <w:p w:rsidR="00E52E57" w:rsidRPr="00E52E57" w:rsidRDefault="00E52E57" w:rsidP="00E52E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налог на имущество при плане 8,0 тыс. руб. исполнение составило 9,9 тыс. руб.</w:t>
      </w:r>
    </w:p>
    <w:p w:rsidR="00E52E57" w:rsidRPr="00E52E57" w:rsidRDefault="00E52E57" w:rsidP="00E52E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земельный налог при плане 131,0 тыс. руб. исполнение составило 127,7</w:t>
      </w:r>
      <w:r w:rsidRPr="00E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тыс. руб.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Выполнение доходной части бюджета по неналоговым </w:t>
      </w:r>
      <w:proofErr w:type="gramStart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платежам  составило</w:t>
      </w:r>
      <w:proofErr w:type="gramEnd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0 тыс. руб. при плане 0 тыс. руб.; 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Выполнение доходной части бюджета по безвозмездным поступлениям 5996,3 </w:t>
      </w:r>
      <w:proofErr w:type="spellStart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при плане 5997,0 </w:t>
      </w:r>
      <w:proofErr w:type="spellStart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Х О Д Ы</w:t>
      </w:r>
    </w:p>
    <w:p w:rsidR="00E52E57" w:rsidRPr="00E52E57" w:rsidRDefault="00E52E57" w:rsidP="00E5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Расходная часть бюджета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сформирована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расчетам бюджетных учреждений и утвержденной методике планирования бюджетных ассигнований  в соответствии с требованиями Бюджетного Кодекса РФ с учетом  снижаемого остатка в общей сумме 30088,4 тыс. руб., исполнена 25174,6 тыс. руб.</w:t>
      </w:r>
    </w:p>
    <w:p w:rsidR="00E52E57" w:rsidRPr="00E52E57" w:rsidRDefault="00E52E57" w:rsidP="00E52E5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разделу 01 «Общегосударственные вопросы»</w:t>
      </w:r>
      <w:r w:rsidRPr="00E52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составляют 8147,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3  тыс.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исполнено 7763,8 тыс. руб..</w:t>
      </w:r>
    </w:p>
    <w:p w:rsidR="00E52E57" w:rsidRPr="00E52E57" w:rsidRDefault="00E52E57" w:rsidP="00E52E57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работников администрации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соответствует нормативу, установленному Приказом министерства труда и занятости Иркутской области, от 14.10.2013 г № 57-мпр «Об утверждении 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области».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Нормативы численности разработаны с условием </w:t>
      </w:r>
      <w:proofErr w:type="gramStart"/>
      <w:r w:rsidRPr="00E52E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выполнения  органом</w:t>
      </w:r>
      <w:proofErr w:type="gramEnd"/>
      <w:r w:rsidRPr="00E52E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местного самоуправления полного перечня вопросов местного значения, предусмотренных статьей 14 Федерального закона 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общих принципах организации местного самоуправления в Российской Федерации».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 аппарата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составляет: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Выборные должности- 1,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Должности, относящиеся к муниципальным служащим- 2,25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Должности, не относящиеся к муниципальным служащим- 1,5</w:t>
      </w:r>
    </w:p>
    <w:p w:rsidR="00E52E57" w:rsidRPr="00E52E57" w:rsidRDefault="00E52E57" w:rsidP="00E52E57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Вспомогательный персонал (рабочие) -4.</w:t>
      </w:r>
    </w:p>
    <w:p w:rsidR="00E52E57" w:rsidRPr="00E52E57" w:rsidRDefault="00E52E57" w:rsidP="00E52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Оплата труда главы поселения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муниципальных служащих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установлена в соответствии с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области.</w:t>
      </w:r>
    </w:p>
    <w:p w:rsidR="00E52E57" w:rsidRPr="00E52E57" w:rsidRDefault="00E52E57" w:rsidP="00E52E57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Должностные оклады по муниципальным должностям муниципальной службы установлены с учетом должностных окладов областных гражданских служащих, установленных постановлением губернатора области от 16.11.2007 г. №536-п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 должностных окладов и ежемесячного денежного поощрения государственных гражданских служащих».</w:t>
      </w:r>
    </w:p>
    <w:p w:rsidR="00E52E57" w:rsidRPr="00E52E57" w:rsidRDefault="00E52E57" w:rsidP="00E52E57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фонд заработной платы формируется в соответствии Решением Думы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26.02.2014   г. № 17/4 «Об утверждении положения о размере и условиях оплаты труда муниципальных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МО».</w:t>
      </w:r>
    </w:p>
    <w:p w:rsidR="00E52E57" w:rsidRPr="00E52E57" w:rsidRDefault="00E52E57" w:rsidP="00E5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труда, порядок формирования фонда заработной платы  технических исполнителей, вспомогательного персонала органов местного самоуправлений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соответствует системе оплаты труда работников, замещающих должности, не являющиеся должностями государственной гражданской службы Иркутской области, установленной указом Губернатора области от 22 сентября 2011 года №246-уг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разделу 02 «Национальная оборона»</w:t>
      </w:r>
      <w:r w:rsidRPr="00E52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расходы составляют 110,4 тыс. руб. исполнение составило 100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разделу 03 «Национальная безопасность и правоохранительная деятельность»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расходы составляют 613,2 тыс. руб. исполнение составило 613,1 тыс. руб.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разделу 04 «Национальная экономика»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расходы составляют 1781,8 тыс. руб., исполнение 772,3 тыс. руб.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По разделу 05 «Жилищно-коммунальное хозяйство»</w:t>
      </w:r>
      <w:r w:rsidRPr="00E5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расходы составляют 18241,0 тыс. руб. исполнение 15135,5 тыс.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руб.(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E52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0501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300,0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– 298,0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расходы по Муниципальным программам «Обеспечение малоимущих граждан жилыми помещениями по договорам социального найма в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Непском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2018-2020 годы»;</w:t>
      </w:r>
      <w:r w:rsidRPr="00E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0502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-  4607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,08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– 1843,9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расходы по Муниципальной программе «Энергосбережение и повышение энергетической эффективности на территории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2018 – 2020 годы»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0503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3223,4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– 3030,2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Муниципальная программа: «Благоустройство населённых пунктов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период 2018 - 2020 годы»</w:t>
      </w:r>
    </w:p>
    <w:p w:rsidR="00E52E57" w:rsidRPr="00E52E57" w:rsidRDefault="00E52E57" w:rsidP="00E5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0505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10110,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составило – 9963,4 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Муниципальная программа «Программа комплексного развития систем коммунальной инфраструктуры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2018 – 2020 годы».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gramStart"/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разделу  11</w:t>
      </w:r>
      <w:proofErr w:type="gramEnd"/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«Физическая культура и спорт». </w:t>
      </w:r>
    </w:p>
    <w:p w:rsidR="00E52E57" w:rsidRPr="00E52E57" w:rsidRDefault="00E52E57" w:rsidP="00E5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1100</w:t>
      </w: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150,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составило – 0  </w:t>
      </w:r>
      <w:proofErr w:type="spell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E57" w:rsidRPr="00E52E57" w:rsidRDefault="00E52E57" w:rsidP="00E52E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gramStart"/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разделу  14</w:t>
      </w:r>
      <w:proofErr w:type="gramEnd"/>
      <w:r w:rsidRPr="00E52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«Межбюджетные трансферты».</w:t>
      </w:r>
      <w:r w:rsidRPr="00E52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межбюджетные трансферты общего характера бюджетами субъектов Российской Федерации и муниципальных </w:t>
      </w:r>
      <w:proofErr w:type="gramStart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,</w:t>
      </w:r>
      <w:proofErr w:type="gramEnd"/>
      <w:r w:rsidRPr="00E5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расходы составляют 1044,8 тыс. руб., исполнено 779,4 тыс. руб.</w:t>
      </w: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57" w:rsidRPr="00E52E57" w:rsidRDefault="00E52E57" w:rsidP="00E5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57" w:rsidRDefault="00E52E57" w:rsidP="00E52E57">
      <w:pPr>
        <w:spacing w:line="240" w:lineRule="auto"/>
      </w:pPr>
    </w:p>
    <w:sectPr w:rsidR="00E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993"/>
    <w:multiLevelType w:val="hybridMultilevel"/>
    <w:tmpl w:val="3802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BD5"/>
    <w:multiLevelType w:val="hybridMultilevel"/>
    <w:tmpl w:val="C3BC9E04"/>
    <w:lvl w:ilvl="0" w:tplc="1E14313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57"/>
    <w:rsid w:val="001A75BC"/>
    <w:rsid w:val="00670278"/>
    <w:rsid w:val="00E52E57"/>
    <w:rsid w:val="00F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499"/>
  <w15:chartTrackingRefBased/>
  <w15:docId w15:val="{F914A92A-15DE-4696-B2D9-C77BCF73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E57"/>
    <w:pPr>
      <w:keepNext/>
      <w:keepLines/>
      <w:spacing w:before="240" w:after="0" w:line="252" w:lineRule="auto"/>
      <w:outlineLvl w:val="0"/>
    </w:pPr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E57"/>
    <w:pPr>
      <w:keepNext/>
      <w:keepLines/>
      <w:spacing w:before="40" w:after="0" w:line="252" w:lineRule="auto"/>
      <w:outlineLvl w:val="1"/>
    </w:pPr>
    <w:rPr>
      <w:rFonts w:ascii="Calibri Light" w:eastAsia="Times New Roman" w:hAnsi="Calibri Light" w:cs="Times New Roman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E57"/>
    <w:pPr>
      <w:keepNext/>
      <w:keepLines/>
      <w:spacing w:before="40" w:after="0" w:line="252" w:lineRule="auto"/>
      <w:outlineLvl w:val="3"/>
    </w:pPr>
    <w:rPr>
      <w:rFonts w:ascii="Calibri Light" w:eastAsia="Times New Roman" w:hAnsi="Calibri Light" w:cs="Times New Roman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57"/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E57"/>
    <w:rPr>
      <w:rFonts w:ascii="Calibri Light" w:eastAsia="Times New Roman" w:hAnsi="Calibri Light" w:cs="Times New Roman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E57"/>
    <w:rPr>
      <w:rFonts w:ascii="Calibri Light" w:eastAsia="Times New Roman" w:hAnsi="Calibri Light" w:cs="Times New Roman"/>
      <w:i/>
      <w:iCs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E52E57"/>
  </w:style>
  <w:style w:type="paragraph" w:customStyle="1" w:styleId="msonormal0">
    <w:name w:val="msonormal"/>
    <w:basedOn w:val="a"/>
    <w:rsid w:val="00E5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E5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52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2E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2E5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2E5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E57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2E57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E52E57"/>
    <w:rPr>
      <w:vertAlign w:val="superscript"/>
    </w:rPr>
  </w:style>
  <w:style w:type="table" w:styleId="ab">
    <w:name w:val="Table Grid"/>
    <w:basedOn w:val="a1"/>
    <w:uiPriority w:val="39"/>
    <w:rsid w:val="00E52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2019-04-26T08:20:00Z</dcterms:created>
  <dcterms:modified xsi:type="dcterms:W3CDTF">2019-04-26T09:00:00Z</dcterms:modified>
</cp:coreProperties>
</file>